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0" w:rsidRDefault="00577A50" w:rsidP="006D7A79">
      <w:pPr>
        <w:pStyle w:val="ConsPlusNormal"/>
        <w:spacing w:line="240" w:lineRule="exact"/>
        <w:ind w:firstLine="5528"/>
        <w:outlineLvl w:val="0"/>
        <w:rPr>
          <w:rFonts w:ascii="Times New Roman" w:hAnsi="Times New Roman" w:cs="Times New Roman"/>
          <w:sz w:val="28"/>
          <w:szCs w:val="28"/>
        </w:rPr>
      </w:pPr>
    </w:p>
    <w:p w:rsidR="00577A50" w:rsidRDefault="00577A50" w:rsidP="006D7A79">
      <w:pPr>
        <w:pStyle w:val="ConsPlusNormal"/>
        <w:spacing w:line="240" w:lineRule="exact"/>
        <w:ind w:firstLine="5528"/>
        <w:outlineLvl w:val="0"/>
        <w:rPr>
          <w:rFonts w:ascii="Times New Roman" w:hAnsi="Times New Roman" w:cs="Times New Roman"/>
          <w:sz w:val="28"/>
          <w:szCs w:val="28"/>
        </w:rPr>
      </w:pPr>
    </w:p>
    <w:p w:rsidR="00F03D1B" w:rsidRDefault="00F03D1B" w:rsidP="00A025A4">
      <w:pPr>
        <w:spacing w:line="240" w:lineRule="exact"/>
        <w:jc w:val="both"/>
        <w:rPr>
          <w:sz w:val="28"/>
          <w:szCs w:val="28"/>
        </w:rPr>
      </w:pPr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25785E" w:rsidRPr="00CB7DCA" w:rsidRDefault="0025785E" w:rsidP="0025785E">
      <w:pPr>
        <w:jc w:val="center"/>
        <w:rPr>
          <w:spacing w:val="20"/>
          <w:sz w:val="28"/>
          <w:szCs w:val="28"/>
        </w:rPr>
      </w:pPr>
      <w:r w:rsidRPr="00CB7DCA">
        <w:rPr>
          <w:spacing w:val="20"/>
          <w:sz w:val="28"/>
          <w:szCs w:val="28"/>
        </w:rPr>
        <w:t>АДМИНИСТРАЦИЯ</w:t>
      </w:r>
    </w:p>
    <w:p w:rsidR="0025785E" w:rsidRPr="00CB7DCA" w:rsidRDefault="0025785E" w:rsidP="0025785E">
      <w:pPr>
        <w:jc w:val="center"/>
        <w:rPr>
          <w:spacing w:val="20"/>
          <w:sz w:val="28"/>
          <w:szCs w:val="28"/>
        </w:rPr>
      </w:pPr>
      <w:r w:rsidRPr="00CB7DCA">
        <w:rPr>
          <w:spacing w:val="20"/>
          <w:sz w:val="28"/>
          <w:szCs w:val="28"/>
        </w:rPr>
        <w:t>городского поселения "Рабочий поселок Лососина"</w:t>
      </w:r>
    </w:p>
    <w:p w:rsidR="0025785E" w:rsidRPr="00CB7DCA" w:rsidRDefault="0025785E" w:rsidP="0025785E">
      <w:pPr>
        <w:jc w:val="center"/>
        <w:rPr>
          <w:spacing w:val="20"/>
          <w:sz w:val="28"/>
          <w:szCs w:val="28"/>
        </w:rPr>
      </w:pPr>
      <w:r w:rsidRPr="00CB7DCA">
        <w:rPr>
          <w:spacing w:val="20"/>
          <w:sz w:val="28"/>
          <w:szCs w:val="28"/>
        </w:rPr>
        <w:t>Советско-Гаванского муниципального района Хабаровского края</w:t>
      </w:r>
    </w:p>
    <w:p w:rsidR="00240D3F" w:rsidRDefault="0025785E" w:rsidP="0025785E">
      <w:pPr>
        <w:spacing w:line="240" w:lineRule="exact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</w:t>
      </w:r>
      <w:r w:rsidRPr="00CB7DCA">
        <w:rPr>
          <w:spacing w:val="20"/>
          <w:sz w:val="28"/>
          <w:szCs w:val="28"/>
        </w:rPr>
        <w:t>ПОСТАНОВЛЕНИЕ</w:t>
      </w:r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25785E" w:rsidRPr="00CB7DCA" w:rsidRDefault="0025785E" w:rsidP="0025785E">
      <w:pPr>
        <w:rPr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  <w:u w:val="single"/>
        </w:rPr>
        <w:t>17</w:t>
      </w:r>
      <w:r>
        <w:rPr>
          <w:spacing w:val="20"/>
          <w:sz w:val="28"/>
          <w:szCs w:val="28"/>
          <w:u w:val="single"/>
        </w:rPr>
        <w:t>.09</w:t>
      </w:r>
      <w:r w:rsidRPr="00CB7DCA">
        <w:rPr>
          <w:spacing w:val="20"/>
          <w:sz w:val="28"/>
          <w:szCs w:val="28"/>
          <w:u w:val="single"/>
        </w:rPr>
        <w:t xml:space="preserve">.2021 № </w:t>
      </w:r>
      <w:r>
        <w:rPr>
          <w:spacing w:val="20"/>
          <w:sz w:val="28"/>
          <w:szCs w:val="28"/>
          <w:u w:val="single"/>
        </w:rPr>
        <w:t>105</w:t>
      </w:r>
    </w:p>
    <w:p w:rsidR="00240D3F" w:rsidRDefault="0025785E" w:rsidP="0025785E">
      <w:pPr>
        <w:spacing w:line="240" w:lineRule="exact"/>
        <w:jc w:val="both"/>
        <w:rPr>
          <w:sz w:val="28"/>
          <w:szCs w:val="28"/>
        </w:rPr>
      </w:pPr>
      <w:proofErr w:type="spellStart"/>
      <w:r w:rsidRPr="00CB7DCA">
        <w:rPr>
          <w:spacing w:val="20"/>
          <w:sz w:val="28"/>
          <w:szCs w:val="28"/>
        </w:rPr>
        <w:t>р.п</w:t>
      </w:r>
      <w:proofErr w:type="spellEnd"/>
      <w:r w:rsidRPr="00CB7DCA">
        <w:rPr>
          <w:spacing w:val="20"/>
          <w:sz w:val="28"/>
          <w:szCs w:val="28"/>
        </w:rPr>
        <w:t>. Лососина</w:t>
      </w:r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25785E" w:rsidRDefault="0025785E" w:rsidP="00A025A4">
      <w:pPr>
        <w:spacing w:line="240" w:lineRule="exact"/>
        <w:jc w:val="both"/>
        <w:rPr>
          <w:sz w:val="28"/>
          <w:szCs w:val="28"/>
        </w:rPr>
      </w:pPr>
    </w:p>
    <w:p w:rsidR="0025785E" w:rsidRDefault="0025785E" w:rsidP="00A025A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40D3F" w:rsidRDefault="00240D3F" w:rsidP="00A025A4">
      <w:pPr>
        <w:spacing w:line="240" w:lineRule="exact"/>
        <w:jc w:val="both"/>
        <w:rPr>
          <w:sz w:val="28"/>
          <w:szCs w:val="28"/>
        </w:rPr>
      </w:pPr>
    </w:p>
    <w:p w:rsidR="00A025A4" w:rsidRDefault="00A025A4" w:rsidP="00A025A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7E2287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7E22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7E2287">
        <w:rPr>
          <w:sz w:val="28"/>
          <w:szCs w:val="28"/>
        </w:rPr>
        <w:t xml:space="preserve">«Формирование комфортной городской среды» </w:t>
      </w:r>
      <w:r>
        <w:rPr>
          <w:sz w:val="28"/>
          <w:szCs w:val="28"/>
        </w:rPr>
        <w:t xml:space="preserve">администрации </w:t>
      </w:r>
      <w:r w:rsidRPr="007E228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«Рабочий поселок Лососина» Советско-Гаванского муниципального района </w:t>
      </w:r>
      <w:r w:rsidRPr="007E2287">
        <w:rPr>
          <w:sz w:val="28"/>
          <w:szCs w:val="28"/>
        </w:rPr>
        <w:t>на 2018-202</w:t>
      </w:r>
      <w:r w:rsidR="00C73AD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E228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E22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городского поселения «Рабочий поселок Лососина» от </w:t>
      </w:r>
      <w:r w:rsidR="00C73ADD">
        <w:rPr>
          <w:sz w:val="28"/>
          <w:szCs w:val="28"/>
        </w:rPr>
        <w:t>0</w:t>
      </w:r>
      <w:r w:rsidR="008F6C66">
        <w:rPr>
          <w:sz w:val="28"/>
          <w:szCs w:val="28"/>
        </w:rPr>
        <w:t>5</w:t>
      </w:r>
      <w:r w:rsidR="00C73ADD">
        <w:rPr>
          <w:sz w:val="28"/>
          <w:szCs w:val="28"/>
        </w:rPr>
        <w:t>.</w:t>
      </w:r>
      <w:r w:rsidR="008F6C66">
        <w:rPr>
          <w:sz w:val="28"/>
          <w:szCs w:val="28"/>
        </w:rPr>
        <w:t>08</w:t>
      </w:r>
      <w:r w:rsidR="00C73ADD">
        <w:rPr>
          <w:sz w:val="28"/>
          <w:szCs w:val="28"/>
        </w:rPr>
        <w:t>.20</w:t>
      </w:r>
      <w:r w:rsidR="008F6C6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F6C66">
        <w:rPr>
          <w:sz w:val="28"/>
          <w:szCs w:val="28"/>
        </w:rPr>
        <w:t>77</w:t>
      </w:r>
    </w:p>
    <w:p w:rsidR="00A025A4" w:rsidRDefault="00A025A4" w:rsidP="00A025A4">
      <w:pPr>
        <w:spacing w:line="240" w:lineRule="exact"/>
        <w:jc w:val="both"/>
        <w:rPr>
          <w:sz w:val="28"/>
          <w:szCs w:val="28"/>
        </w:rPr>
      </w:pPr>
    </w:p>
    <w:p w:rsidR="00A025A4" w:rsidRDefault="00A025A4" w:rsidP="00A025A4">
      <w:pPr>
        <w:spacing w:line="240" w:lineRule="exact"/>
        <w:jc w:val="both"/>
        <w:rPr>
          <w:sz w:val="28"/>
          <w:szCs w:val="28"/>
        </w:rPr>
      </w:pPr>
    </w:p>
    <w:p w:rsidR="00817066" w:rsidRPr="007E2287" w:rsidRDefault="00817066" w:rsidP="00A025A4">
      <w:pPr>
        <w:spacing w:line="240" w:lineRule="exact"/>
        <w:jc w:val="both"/>
        <w:rPr>
          <w:sz w:val="28"/>
          <w:szCs w:val="28"/>
        </w:rPr>
      </w:pPr>
    </w:p>
    <w:p w:rsidR="00A025A4" w:rsidRPr="007E2287" w:rsidRDefault="00A025A4" w:rsidP="00240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E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Хабаровского края от 31.08.2017 № 356-пр "Об утверждении государственной программы Хабаровского края "Формирование современной городской среды",</w:t>
      </w:r>
      <w:r w:rsidR="00DC1953">
        <w:rPr>
          <w:rFonts w:ascii="Times New Roman" w:hAnsi="Times New Roman" w:cs="Times New Roman"/>
          <w:sz w:val="28"/>
          <w:szCs w:val="28"/>
        </w:rPr>
        <w:t xml:space="preserve"> </w:t>
      </w:r>
      <w:r w:rsidR="00DC1953" w:rsidRPr="00F43243">
        <w:rPr>
          <w:rFonts w:ascii="Times New Roman" w:hAnsi="Times New Roman" w:cs="Times New Roman"/>
          <w:sz w:val="28"/>
          <w:szCs w:val="28"/>
        </w:rPr>
        <w:t>Протоколом заседания  общественной комиссии по подаче заявки на участие в отборе муниципальных образований Хабаровского края для предоставления</w:t>
      </w:r>
      <w:r w:rsidR="00847900" w:rsidRPr="00F43243"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 бюджетам муниципальных образований Хабаровского края на </w:t>
      </w:r>
      <w:proofErr w:type="spellStart"/>
      <w:r w:rsidR="00847900" w:rsidRPr="00F4324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47900" w:rsidRPr="00F4324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Хабаровского  края по реализации муниципальных программ формирования современной</w:t>
      </w:r>
      <w:proofErr w:type="gramEnd"/>
      <w:r w:rsidR="00847900" w:rsidRPr="00F43243">
        <w:rPr>
          <w:rFonts w:ascii="Times New Roman" w:hAnsi="Times New Roman" w:cs="Times New Roman"/>
          <w:sz w:val="28"/>
          <w:szCs w:val="28"/>
        </w:rPr>
        <w:t xml:space="preserve">  городской среды на мероприятия по благоустройству общественных</w:t>
      </w:r>
      <w:r w:rsidR="00CE0482" w:rsidRPr="00F43243">
        <w:rPr>
          <w:rFonts w:ascii="Times New Roman" w:hAnsi="Times New Roman" w:cs="Times New Roman"/>
          <w:sz w:val="28"/>
          <w:szCs w:val="28"/>
        </w:rPr>
        <w:t xml:space="preserve"> территорий в 2022 году от 17.09.2021 г.</w:t>
      </w:r>
      <w:r w:rsidR="008672F5" w:rsidRPr="00F43243">
        <w:rPr>
          <w:rFonts w:ascii="Times New Roman" w:hAnsi="Times New Roman" w:cs="Times New Roman"/>
          <w:sz w:val="28"/>
          <w:szCs w:val="28"/>
        </w:rPr>
        <w:t>,</w:t>
      </w:r>
      <w:r w:rsidR="008672F5">
        <w:rPr>
          <w:rFonts w:ascii="Times New Roman" w:hAnsi="Times New Roman" w:cs="Times New Roman"/>
          <w:sz w:val="28"/>
          <w:szCs w:val="28"/>
        </w:rPr>
        <w:t xml:space="preserve"> </w:t>
      </w:r>
      <w:r w:rsidRPr="007E228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963AC"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3A7FA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C963AC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63A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C963A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963AC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Рабочий поселок Лососина</w:t>
      </w:r>
      <w:r w:rsidRPr="00C963AC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Советско-Гаванского муниципального района Хабаровского края</w:t>
      </w:r>
      <w:r w:rsidRPr="00C963A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C963AC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963AC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 актом Хабаровского края</w:t>
      </w:r>
      <w:r w:rsidRPr="007E2287">
        <w:rPr>
          <w:rFonts w:ascii="Times New Roman" w:hAnsi="Times New Roman" w:cs="Times New Roman"/>
          <w:sz w:val="28"/>
          <w:szCs w:val="28"/>
        </w:rPr>
        <w:t>, администрация городского поселения</w:t>
      </w:r>
    </w:p>
    <w:p w:rsidR="00A025A4" w:rsidRPr="007E2287" w:rsidRDefault="00A025A4" w:rsidP="00A02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5C1A" w:rsidRDefault="00A025A4" w:rsidP="0007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2287">
        <w:rPr>
          <w:sz w:val="28"/>
          <w:szCs w:val="28"/>
        </w:rPr>
        <w:t xml:space="preserve">. </w:t>
      </w:r>
      <w:r w:rsidR="00075C1A">
        <w:rPr>
          <w:sz w:val="28"/>
          <w:szCs w:val="28"/>
        </w:rPr>
        <w:t>Внести изменени</w:t>
      </w:r>
      <w:r w:rsidR="0050251C">
        <w:rPr>
          <w:sz w:val="28"/>
          <w:szCs w:val="28"/>
        </w:rPr>
        <w:t>я</w:t>
      </w:r>
      <w:r w:rsidR="00075C1A">
        <w:rPr>
          <w:sz w:val="28"/>
          <w:szCs w:val="28"/>
        </w:rPr>
        <w:t xml:space="preserve"> в постановление </w:t>
      </w:r>
      <w:r w:rsidR="00075C1A" w:rsidRPr="00804E96">
        <w:rPr>
          <w:sz w:val="28"/>
          <w:szCs w:val="28"/>
        </w:rPr>
        <w:t xml:space="preserve">№ </w:t>
      </w:r>
      <w:r w:rsidR="00075C1A">
        <w:rPr>
          <w:sz w:val="28"/>
          <w:szCs w:val="28"/>
        </w:rPr>
        <w:t>77</w:t>
      </w:r>
      <w:r w:rsidR="00075C1A" w:rsidRPr="00804E96">
        <w:rPr>
          <w:sz w:val="28"/>
          <w:szCs w:val="28"/>
        </w:rPr>
        <w:t xml:space="preserve"> от </w:t>
      </w:r>
      <w:r w:rsidR="00075C1A">
        <w:rPr>
          <w:sz w:val="28"/>
          <w:szCs w:val="28"/>
        </w:rPr>
        <w:t>0</w:t>
      </w:r>
      <w:r w:rsidR="00075C1A" w:rsidRPr="00804E96">
        <w:rPr>
          <w:sz w:val="28"/>
          <w:szCs w:val="28"/>
        </w:rPr>
        <w:t>5.</w:t>
      </w:r>
      <w:r w:rsidR="00075C1A">
        <w:rPr>
          <w:sz w:val="28"/>
          <w:szCs w:val="28"/>
        </w:rPr>
        <w:t>08</w:t>
      </w:r>
      <w:r w:rsidR="00075C1A" w:rsidRPr="00804E96">
        <w:rPr>
          <w:sz w:val="28"/>
          <w:szCs w:val="28"/>
        </w:rPr>
        <w:t>.20</w:t>
      </w:r>
      <w:r w:rsidR="00075C1A">
        <w:rPr>
          <w:sz w:val="28"/>
          <w:szCs w:val="28"/>
        </w:rPr>
        <w:t xml:space="preserve">20 г. </w:t>
      </w:r>
      <w:r w:rsidR="00075C1A" w:rsidRPr="00804E96">
        <w:rPr>
          <w:sz w:val="28"/>
          <w:szCs w:val="28"/>
        </w:rPr>
        <w:t>«</w:t>
      </w:r>
      <w:r w:rsidR="00075C1A" w:rsidRPr="00287CCD">
        <w:rPr>
          <w:sz w:val="28"/>
          <w:szCs w:val="28"/>
        </w:rPr>
        <w:t xml:space="preserve">Об утверждении муниципальной программы </w:t>
      </w:r>
      <w:r w:rsidR="00075C1A" w:rsidRPr="00287CCD">
        <w:rPr>
          <w:sz w:val="28"/>
          <w:szCs w:val="28"/>
          <w:lang w:eastAsia="en-US"/>
        </w:rPr>
        <w:t>«Формирова</w:t>
      </w:r>
      <w:r w:rsidR="00075C1A">
        <w:rPr>
          <w:sz w:val="28"/>
          <w:szCs w:val="28"/>
          <w:lang w:eastAsia="en-US"/>
        </w:rPr>
        <w:t>ние современной</w:t>
      </w:r>
      <w:r w:rsidR="00075C1A" w:rsidRPr="00864303">
        <w:rPr>
          <w:sz w:val="28"/>
          <w:szCs w:val="28"/>
          <w:lang w:eastAsia="en-US"/>
        </w:rPr>
        <w:t xml:space="preserve"> городской среды на территории городского поселения «Рабочий по</w:t>
      </w:r>
      <w:r w:rsidR="00075C1A">
        <w:rPr>
          <w:sz w:val="28"/>
          <w:szCs w:val="28"/>
          <w:lang w:eastAsia="en-US"/>
        </w:rPr>
        <w:t xml:space="preserve">селок </w:t>
      </w:r>
      <w:r w:rsidR="00075C1A">
        <w:rPr>
          <w:sz w:val="28"/>
          <w:szCs w:val="28"/>
        </w:rPr>
        <w:t>Лососина</w:t>
      </w:r>
      <w:r w:rsidR="00075C1A" w:rsidRPr="00864303">
        <w:rPr>
          <w:sz w:val="28"/>
          <w:szCs w:val="28"/>
          <w:lang w:eastAsia="en-US"/>
        </w:rPr>
        <w:t>»</w:t>
      </w:r>
      <w:r w:rsidR="00075C1A">
        <w:rPr>
          <w:sz w:val="28"/>
          <w:szCs w:val="28"/>
          <w:lang w:eastAsia="en-US"/>
        </w:rPr>
        <w:t xml:space="preserve"> </w:t>
      </w:r>
      <w:r w:rsidR="00075C1A">
        <w:rPr>
          <w:sz w:val="28"/>
          <w:szCs w:val="28"/>
        </w:rPr>
        <w:t xml:space="preserve">Советско-Гаванского </w:t>
      </w:r>
      <w:r w:rsidR="00075C1A" w:rsidRPr="00864303">
        <w:rPr>
          <w:sz w:val="28"/>
          <w:szCs w:val="28"/>
          <w:lang w:eastAsia="en-US"/>
        </w:rPr>
        <w:t>муниципального района на 2018-202</w:t>
      </w:r>
      <w:r w:rsidR="00075C1A">
        <w:rPr>
          <w:sz w:val="28"/>
          <w:szCs w:val="28"/>
          <w:lang w:eastAsia="en-US"/>
        </w:rPr>
        <w:t>4</w:t>
      </w:r>
      <w:r w:rsidR="00075C1A" w:rsidRPr="00864303">
        <w:rPr>
          <w:sz w:val="28"/>
          <w:szCs w:val="28"/>
          <w:lang w:eastAsia="en-US"/>
        </w:rPr>
        <w:t xml:space="preserve"> годы»</w:t>
      </w:r>
      <w:r w:rsidR="00075C1A">
        <w:rPr>
          <w:sz w:val="28"/>
          <w:szCs w:val="28"/>
          <w:lang w:eastAsia="en-US"/>
        </w:rPr>
        <w:t xml:space="preserve"> </w:t>
      </w:r>
      <w:r w:rsidR="00075C1A">
        <w:rPr>
          <w:sz w:val="28"/>
          <w:szCs w:val="28"/>
        </w:rPr>
        <w:t>(далее – Программа)</w:t>
      </w:r>
      <w:r w:rsidR="00075C1A">
        <w:rPr>
          <w:sz w:val="28"/>
          <w:szCs w:val="28"/>
          <w:lang w:eastAsia="en-US"/>
        </w:rPr>
        <w:t xml:space="preserve">, </w:t>
      </w:r>
      <w:r w:rsidR="00075C1A" w:rsidRPr="00F43243">
        <w:rPr>
          <w:sz w:val="28"/>
          <w:szCs w:val="28"/>
          <w:lang w:eastAsia="en-US"/>
        </w:rPr>
        <w:t>изложив приложени</w:t>
      </w:r>
      <w:r w:rsidR="00F43243" w:rsidRPr="00F43243">
        <w:rPr>
          <w:sz w:val="28"/>
          <w:szCs w:val="28"/>
          <w:lang w:eastAsia="en-US"/>
        </w:rPr>
        <w:t>я</w:t>
      </w:r>
      <w:r w:rsidR="00075C1A" w:rsidRPr="00F43243">
        <w:rPr>
          <w:sz w:val="28"/>
          <w:szCs w:val="28"/>
          <w:lang w:eastAsia="en-US"/>
        </w:rPr>
        <w:t xml:space="preserve"> № </w:t>
      </w:r>
      <w:r w:rsidR="00FD1BBF" w:rsidRPr="00F43243">
        <w:rPr>
          <w:sz w:val="28"/>
          <w:szCs w:val="28"/>
          <w:lang w:eastAsia="en-US"/>
        </w:rPr>
        <w:t>7</w:t>
      </w:r>
      <w:r w:rsidR="00F43243" w:rsidRPr="00F43243">
        <w:rPr>
          <w:sz w:val="28"/>
          <w:szCs w:val="28"/>
          <w:lang w:eastAsia="en-US"/>
        </w:rPr>
        <w:t xml:space="preserve">, 9 </w:t>
      </w:r>
      <w:r w:rsidR="00075C1A" w:rsidRPr="00F43243">
        <w:rPr>
          <w:sz w:val="28"/>
          <w:szCs w:val="28"/>
        </w:rPr>
        <w:t>программы в новой редакции.</w:t>
      </w:r>
    </w:p>
    <w:p w:rsidR="00075C1A" w:rsidRPr="007E2287" w:rsidRDefault="00075C1A" w:rsidP="0007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Объемы финансирования Программы подлежат ежегодному уточнению, исходя из возможностей бюджета городского поселения </w:t>
      </w:r>
      <w:r w:rsidRPr="004C6F10">
        <w:rPr>
          <w:sz w:val="28"/>
          <w:szCs w:val="28"/>
        </w:rPr>
        <w:t>«</w:t>
      </w:r>
      <w:r>
        <w:rPr>
          <w:sz w:val="28"/>
          <w:szCs w:val="28"/>
        </w:rPr>
        <w:t>Рабочий посёлок Лососина</w:t>
      </w:r>
      <w:r w:rsidRPr="004C6F10">
        <w:rPr>
          <w:sz w:val="28"/>
          <w:szCs w:val="28"/>
        </w:rPr>
        <w:t>»</w:t>
      </w:r>
      <w:r>
        <w:rPr>
          <w:sz w:val="28"/>
          <w:szCs w:val="28"/>
        </w:rPr>
        <w:t xml:space="preserve">  Советско-Гаванского муниципального района Хабаровского края на соответствующий финансовый год.</w:t>
      </w:r>
    </w:p>
    <w:p w:rsidR="00A025A4" w:rsidRDefault="00075C1A" w:rsidP="00A0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5A4" w:rsidRPr="007E22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5A4" w:rsidRPr="007E2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25A4" w:rsidRPr="007E2287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A025A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A025A4" w:rsidRPr="007E2287">
        <w:rPr>
          <w:rFonts w:ascii="Times New Roman" w:hAnsi="Times New Roman" w:cs="Times New Roman"/>
          <w:sz w:val="28"/>
          <w:szCs w:val="28"/>
        </w:rPr>
        <w:t xml:space="preserve"> </w:t>
      </w:r>
      <w:r w:rsidR="00A025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7066" w:rsidRDefault="00817066" w:rsidP="00A0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066" w:rsidRDefault="00817066" w:rsidP="0081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025A4" w:rsidRPr="007E2287" w:rsidRDefault="00075C1A" w:rsidP="00A02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5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025A4" w:rsidRPr="007E2287" w:rsidRDefault="00A025A4" w:rsidP="00A02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5A4" w:rsidRDefault="00A025A4" w:rsidP="00A025A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16D" w:rsidRDefault="00FC616D" w:rsidP="00DC19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A025A4">
        <w:rPr>
          <w:rFonts w:ascii="Times New Roman" w:hAnsi="Times New Roman" w:cs="Times New Roman"/>
          <w:sz w:val="28"/>
          <w:szCs w:val="28"/>
        </w:rPr>
        <w:t>Г</w:t>
      </w:r>
      <w:r w:rsidR="00A025A4" w:rsidRPr="007E22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25A4" w:rsidRPr="007E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1953" w:rsidRDefault="00A025A4" w:rsidP="00DC19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</w:t>
      </w:r>
      <w:r w:rsidRPr="007E22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287">
        <w:rPr>
          <w:rFonts w:ascii="Times New Roman" w:hAnsi="Times New Roman" w:cs="Times New Roman"/>
          <w:sz w:val="28"/>
          <w:szCs w:val="28"/>
        </w:rPr>
        <w:t xml:space="preserve"> </w:t>
      </w:r>
      <w:r w:rsidR="00F83E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83E3C">
        <w:rPr>
          <w:rFonts w:ascii="Times New Roman" w:hAnsi="Times New Roman" w:cs="Times New Roman"/>
          <w:sz w:val="28"/>
          <w:szCs w:val="28"/>
        </w:rPr>
        <w:t>Е.Н.Каплиева</w:t>
      </w:r>
      <w:proofErr w:type="spellEnd"/>
    </w:p>
    <w:p w:rsidR="00401CF0" w:rsidRDefault="00401CF0" w:rsidP="009A23A9">
      <w:pPr>
        <w:ind w:firstLine="708"/>
        <w:jc w:val="center"/>
        <w:rPr>
          <w:sz w:val="28"/>
          <w:szCs w:val="28"/>
        </w:rPr>
      </w:pPr>
    </w:p>
    <w:p w:rsidR="006B363D" w:rsidRDefault="006B363D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817066" w:rsidRDefault="00817066" w:rsidP="009A23A9">
      <w:pPr>
        <w:ind w:firstLine="708"/>
        <w:jc w:val="center"/>
        <w:rPr>
          <w:sz w:val="28"/>
          <w:szCs w:val="28"/>
        </w:rPr>
      </w:pPr>
    </w:p>
    <w:p w:rsidR="006B363D" w:rsidRDefault="006B363D" w:rsidP="009A23A9">
      <w:pPr>
        <w:ind w:firstLine="708"/>
        <w:jc w:val="center"/>
        <w:rPr>
          <w:sz w:val="28"/>
          <w:szCs w:val="28"/>
        </w:rPr>
      </w:pPr>
    </w:p>
    <w:p w:rsidR="006B363D" w:rsidRPr="007E2287" w:rsidRDefault="006B363D" w:rsidP="006B363D">
      <w:pPr>
        <w:spacing w:line="240" w:lineRule="exact"/>
        <w:ind w:firstLine="709"/>
        <w:jc w:val="right"/>
        <w:rPr>
          <w:sz w:val="28"/>
          <w:szCs w:val="28"/>
        </w:rPr>
      </w:pPr>
      <w:r w:rsidRPr="007E2287">
        <w:rPr>
          <w:sz w:val="28"/>
          <w:szCs w:val="28"/>
        </w:rPr>
        <w:lastRenderedPageBreak/>
        <w:t>Приложение №7</w:t>
      </w:r>
    </w:p>
    <w:p w:rsidR="006B363D" w:rsidRPr="007E2287" w:rsidRDefault="006B363D" w:rsidP="006B363D">
      <w:pPr>
        <w:spacing w:line="240" w:lineRule="exact"/>
        <w:ind w:firstLine="709"/>
        <w:jc w:val="right"/>
        <w:rPr>
          <w:sz w:val="28"/>
          <w:szCs w:val="28"/>
        </w:rPr>
      </w:pPr>
      <w:r w:rsidRPr="007E2287">
        <w:rPr>
          <w:sz w:val="28"/>
          <w:szCs w:val="28"/>
        </w:rPr>
        <w:t>к муниципальной программе</w:t>
      </w:r>
    </w:p>
    <w:p w:rsidR="00817066" w:rsidRDefault="006B363D" w:rsidP="006B363D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 xml:space="preserve">«Формирование </w:t>
      </w:r>
      <w:proofErr w:type="gramStart"/>
      <w:r w:rsidRPr="003063D1">
        <w:rPr>
          <w:sz w:val="28"/>
          <w:szCs w:val="28"/>
        </w:rPr>
        <w:t>комфортной</w:t>
      </w:r>
      <w:proofErr w:type="gramEnd"/>
      <w:r w:rsidRPr="003063D1">
        <w:rPr>
          <w:sz w:val="28"/>
          <w:szCs w:val="28"/>
        </w:rPr>
        <w:t xml:space="preserve"> </w:t>
      </w:r>
    </w:p>
    <w:p w:rsidR="00817066" w:rsidRDefault="006B363D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городской среды на территории</w:t>
      </w:r>
    </w:p>
    <w:p w:rsidR="00817066" w:rsidRDefault="006B363D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городского поселения</w:t>
      </w:r>
      <w:r w:rsidR="00817066">
        <w:rPr>
          <w:sz w:val="28"/>
          <w:szCs w:val="28"/>
        </w:rPr>
        <w:t xml:space="preserve"> </w:t>
      </w:r>
    </w:p>
    <w:p w:rsidR="00817066" w:rsidRDefault="006B363D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«Рабочий</w:t>
      </w:r>
      <w:r>
        <w:rPr>
          <w:sz w:val="28"/>
          <w:szCs w:val="28"/>
        </w:rPr>
        <w:t xml:space="preserve"> поселок Лососина» </w:t>
      </w:r>
    </w:p>
    <w:p w:rsidR="006B363D" w:rsidRPr="007E2287" w:rsidRDefault="006B363D" w:rsidP="00817066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2018-2024 </w:t>
      </w:r>
      <w:r w:rsidRPr="003063D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063D1">
        <w:rPr>
          <w:sz w:val="28"/>
          <w:szCs w:val="28"/>
        </w:rPr>
        <w:t>»</w:t>
      </w:r>
    </w:p>
    <w:p w:rsidR="006B363D" w:rsidRDefault="006B363D" w:rsidP="006B363D">
      <w:pPr>
        <w:ind w:firstLine="708"/>
        <w:jc w:val="center"/>
        <w:rPr>
          <w:sz w:val="28"/>
          <w:szCs w:val="28"/>
        </w:rPr>
      </w:pPr>
    </w:p>
    <w:p w:rsidR="006B363D" w:rsidRPr="007E2287" w:rsidRDefault="006B363D" w:rsidP="006B363D">
      <w:pPr>
        <w:ind w:firstLine="708"/>
        <w:jc w:val="center"/>
        <w:rPr>
          <w:sz w:val="28"/>
          <w:szCs w:val="28"/>
        </w:rPr>
      </w:pPr>
      <w:r w:rsidRPr="007E2287">
        <w:rPr>
          <w:sz w:val="28"/>
          <w:szCs w:val="28"/>
        </w:rPr>
        <w:t>Перечень общественных территорий, подлежащих благоустройству в 2018-202</w:t>
      </w:r>
      <w:r>
        <w:rPr>
          <w:sz w:val="28"/>
          <w:szCs w:val="28"/>
        </w:rPr>
        <w:t>4</w:t>
      </w:r>
      <w:r w:rsidRPr="007E2287">
        <w:rPr>
          <w:sz w:val="28"/>
          <w:szCs w:val="28"/>
        </w:rPr>
        <w:t xml:space="preserve"> году, с перечнем видов работ, планируемых к выполнению</w:t>
      </w:r>
    </w:p>
    <w:p w:rsidR="006B363D" w:rsidRPr="007E2287" w:rsidRDefault="006B363D" w:rsidP="006B363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8583"/>
      </w:tblGrid>
      <w:tr w:rsidR="006B363D" w:rsidRPr="007E2287" w:rsidTr="00561651">
        <w:trPr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 xml:space="preserve">№ </w:t>
            </w:r>
            <w:proofErr w:type="gramStart"/>
            <w:r w:rsidRPr="009F6D06">
              <w:rPr>
                <w:sz w:val="28"/>
                <w:szCs w:val="28"/>
              </w:rPr>
              <w:t>п</w:t>
            </w:r>
            <w:proofErr w:type="gramEnd"/>
            <w:r w:rsidRPr="009F6D06">
              <w:rPr>
                <w:sz w:val="28"/>
                <w:szCs w:val="28"/>
              </w:rPr>
              <w:t>/п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Наименование общественной территории, подлежащей благоустройству</w:t>
            </w:r>
          </w:p>
        </w:tc>
      </w:tr>
      <w:tr w:rsidR="006B363D" w:rsidRPr="007E2287" w:rsidTr="00561651">
        <w:trPr>
          <w:trHeight w:val="190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2018 год</w:t>
            </w:r>
          </w:p>
        </w:tc>
      </w:tr>
      <w:tr w:rsidR="006B363D" w:rsidRPr="007E2287" w:rsidTr="00561651">
        <w:trPr>
          <w:trHeight w:val="347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1.</w:t>
            </w:r>
          </w:p>
        </w:tc>
        <w:tc>
          <w:tcPr>
            <w:tcW w:w="8583" w:type="dxa"/>
          </w:tcPr>
          <w:p w:rsidR="006B363D" w:rsidRPr="00151A83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3">
              <w:rPr>
                <w:rFonts w:ascii="Times New Roman" w:hAnsi="Times New Roman" w:cs="Times New Roman"/>
                <w:sz w:val="28"/>
                <w:szCs w:val="28"/>
              </w:rPr>
              <w:t>Пешеходная дорожка, примыкающая к территории памятника рыбакам,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A83">
              <w:rPr>
                <w:rFonts w:ascii="Times New Roman" w:hAnsi="Times New Roman" w:cs="Times New Roman"/>
                <w:sz w:val="28"/>
                <w:szCs w:val="28"/>
              </w:rPr>
              <w:t>погибшим в годы ВОВ</w:t>
            </w:r>
          </w:p>
        </w:tc>
      </w:tr>
      <w:tr w:rsidR="006B363D" w:rsidRPr="007E2287" w:rsidTr="00561651">
        <w:trPr>
          <w:trHeight w:val="273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2019 год</w:t>
            </w:r>
          </w:p>
        </w:tc>
      </w:tr>
      <w:tr w:rsidR="006B363D" w:rsidRPr="007E2287" w:rsidTr="00561651">
        <w:trPr>
          <w:trHeight w:val="315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F6D06">
              <w:rPr>
                <w:sz w:val="28"/>
                <w:szCs w:val="28"/>
              </w:rPr>
              <w:t>.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0</w:t>
            </w:r>
          </w:p>
        </w:tc>
      </w:tr>
      <w:tr w:rsidR="006B363D" w:rsidRPr="007E2287" w:rsidTr="00561651">
        <w:trPr>
          <w:trHeight w:val="273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2020 год</w:t>
            </w:r>
          </w:p>
        </w:tc>
      </w:tr>
      <w:tr w:rsidR="006B363D" w:rsidRPr="007E2287" w:rsidTr="00561651">
        <w:trPr>
          <w:trHeight w:val="364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Многофункциональная спортивная  площадка   </w:t>
            </w:r>
          </w:p>
        </w:tc>
      </w:tr>
      <w:tr w:rsidR="006B363D" w:rsidRPr="007E2287" w:rsidTr="00561651">
        <w:trPr>
          <w:trHeight w:val="251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2021 год</w:t>
            </w:r>
          </w:p>
        </w:tc>
      </w:tr>
      <w:tr w:rsidR="006B363D" w:rsidRPr="007E2287" w:rsidTr="00561651">
        <w:trPr>
          <w:trHeight w:val="697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83" w:type="dxa"/>
          </w:tcPr>
          <w:p w:rsidR="006B363D" w:rsidRPr="003439DC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Многофункциональная спортивная площадка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B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(</w:t>
            </w:r>
            <w:r w:rsidRPr="003439D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голосования по отбору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363D" w:rsidRPr="007E2287" w:rsidTr="00561651">
        <w:trPr>
          <w:trHeight w:val="229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2022 год</w:t>
            </w:r>
          </w:p>
        </w:tc>
      </w:tr>
      <w:tr w:rsidR="006B363D" w:rsidRPr="007E2287" w:rsidTr="00561651">
        <w:trPr>
          <w:trHeight w:val="966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(напротив дома № 1 по ул. Луначарского), 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голосования по отбору общественных территорий, подлежащих в рамках муниципальной программы благоустройству в первоочередном порядке</w:t>
            </w:r>
          </w:p>
        </w:tc>
      </w:tr>
      <w:tr w:rsidR="006B363D" w:rsidRPr="009F6D06" w:rsidTr="00561651">
        <w:trPr>
          <w:trHeight w:val="229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F6D06">
              <w:rPr>
                <w:sz w:val="28"/>
                <w:szCs w:val="28"/>
              </w:rPr>
              <w:t xml:space="preserve"> год</w:t>
            </w:r>
          </w:p>
        </w:tc>
      </w:tr>
      <w:tr w:rsidR="006B363D" w:rsidRPr="009F6D06" w:rsidTr="00561651">
        <w:trPr>
          <w:trHeight w:val="966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C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голосования по отбору общественных территорий, подлежащих в рамках муниципальной программы благоустройству в первоочередном порядке</w:t>
            </w:r>
          </w:p>
        </w:tc>
      </w:tr>
      <w:tr w:rsidR="006B363D" w:rsidRPr="009F6D06" w:rsidTr="00561651">
        <w:trPr>
          <w:trHeight w:val="229"/>
          <w:jc w:val="center"/>
        </w:trPr>
        <w:tc>
          <w:tcPr>
            <w:tcW w:w="9180" w:type="dxa"/>
            <w:gridSpan w:val="2"/>
          </w:tcPr>
          <w:p w:rsidR="006B363D" w:rsidRPr="009F6D06" w:rsidRDefault="006B363D" w:rsidP="00561651">
            <w:pPr>
              <w:jc w:val="center"/>
              <w:rPr>
                <w:sz w:val="28"/>
                <w:szCs w:val="28"/>
              </w:rPr>
            </w:pPr>
            <w:r w:rsidRPr="009F6D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F6D06">
              <w:rPr>
                <w:sz w:val="28"/>
                <w:szCs w:val="28"/>
              </w:rPr>
              <w:t xml:space="preserve"> год</w:t>
            </w:r>
          </w:p>
        </w:tc>
      </w:tr>
      <w:tr w:rsidR="006B363D" w:rsidRPr="009F6D06" w:rsidTr="00561651">
        <w:trPr>
          <w:trHeight w:val="966"/>
          <w:jc w:val="center"/>
        </w:trPr>
        <w:tc>
          <w:tcPr>
            <w:tcW w:w="597" w:type="dxa"/>
          </w:tcPr>
          <w:p w:rsidR="006B363D" w:rsidRPr="009F6D06" w:rsidRDefault="006B363D" w:rsidP="0056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83" w:type="dxa"/>
          </w:tcPr>
          <w:p w:rsidR="006B363D" w:rsidRPr="009F6D06" w:rsidRDefault="006B363D" w:rsidP="0056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9DC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голосования по отбору общественных территорий, подлежащих в рамках муниципальной программы благоустройству в первоочередном порядке</w:t>
            </w:r>
          </w:p>
        </w:tc>
      </w:tr>
    </w:tbl>
    <w:p w:rsidR="006B363D" w:rsidRPr="007E2287" w:rsidRDefault="006B363D" w:rsidP="009A23A9">
      <w:pPr>
        <w:ind w:firstLine="708"/>
        <w:jc w:val="center"/>
        <w:rPr>
          <w:sz w:val="28"/>
          <w:szCs w:val="28"/>
        </w:rPr>
        <w:sectPr w:rsidR="006B363D" w:rsidRPr="007E2287" w:rsidSect="00817066">
          <w:headerReference w:type="default" r:id="rId9"/>
          <w:pgSz w:w="11906" w:h="16838"/>
          <w:pgMar w:top="0" w:right="567" w:bottom="1134" w:left="1843" w:header="709" w:footer="709" w:gutter="0"/>
          <w:pgNumType w:start="0"/>
          <w:cols w:space="708"/>
          <w:titlePg/>
          <w:docGrid w:linePitch="360"/>
        </w:sectPr>
      </w:pPr>
    </w:p>
    <w:p w:rsidR="00007D24" w:rsidRPr="007E2287" w:rsidRDefault="00007D24" w:rsidP="00007D24">
      <w:pPr>
        <w:spacing w:line="240" w:lineRule="exact"/>
        <w:ind w:firstLine="709"/>
        <w:jc w:val="right"/>
        <w:rPr>
          <w:sz w:val="28"/>
          <w:szCs w:val="28"/>
        </w:rPr>
      </w:pPr>
      <w:r w:rsidRPr="007E2287">
        <w:rPr>
          <w:sz w:val="28"/>
          <w:szCs w:val="28"/>
        </w:rPr>
        <w:lastRenderedPageBreak/>
        <w:t>Приложение №</w:t>
      </w:r>
      <w:r w:rsidR="00956766">
        <w:rPr>
          <w:sz w:val="28"/>
          <w:szCs w:val="28"/>
        </w:rPr>
        <w:t xml:space="preserve"> </w:t>
      </w:r>
      <w:r w:rsidRPr="007E2287">
        <w:rPr>
          <w:sz w:val="28"/>
          <w:szCs w:val="28"/>
        </w:rPr>
        <w:t>9</w:t>
      </w:r>
    </w:p>
    <w:p w:rsidR="00817066" w:rsidRPr="007E2287" w:rsidRDefault="00817066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7E2287">
        <w:rPr>
          <w:sz w:val="28"/>
          <w:szCs w:val="28"/>
        </w:rPr>
        <w:t>к муниципальной программе</w:t>
      </w:r>
    </w:p>
    <w:p w:rsidR="00817066" w:rsidRDefault="00817066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 xml:space="preserve">«Формирование </w:t>
      </w:r>
      <w:proofErr w:type="gramStart"/>
      <w:r w:rsidRPr="003063D1">
        <w:rPr>
          <w:sz w:val="28"/>
          <w:szCs w:val="28"/>
        </w:rPr>
        <w:t>комфортной</w:t>
      </w:r>
      <w:proofErr w:type="gramEnd"/>
      <w:r w:rsidRPr="003063D1">
        <w:rPr>
          <w:sz w:val="28"/>
          <w:szCs w:val="28"/>
        </w:rPr>
        <w:t xml:space="preserve"> </w:t>
      </w:r>
    </w:p>
    <w:p w:rsidR="00817066" w:rsidRDefault="00817066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городской среды на территории</w:t>
      </w:r>
    </w:p>
    <w:p w:rsidR="00817066" w:rsidRDefault="00817066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817066" w:rsidRDefault="00817066" w:rsidP="00817066">
      <w:pPr>
        <w:spacing w:line="240" w:lineRule="exact"/>
        <w:ind w:firstLine="709"/>
        <w:jc w:val="right"/>
        <w:rPr>
          <w:sz w:val="28"/>
          <w:szCs w:val="28"/>
        </w:rPr>
      </w:pPr>
      <w:r w:rsidRPr="003063D1">
        <w:rPr>
          <w:sz w:val="28"/>
          <w:szCs w:val="28"/>
        </w:rPr>
        <w:t>«Рабочий</w:t>
      </w:r>
      <w:r>
        <w:rPr>
          <w:sz w:val="28"/>
          <w:szCs w:val="28"/>
        </w:rPr>
        <w:t xml:space="preserve"> поселок Лососина» </w:t>
      </w:r>
    </w:p>
    <w:p w:rsidR="00007D24" w:rsidRDefault="00817066" w:rsidP="008170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2018-2024 </w:t>
      </w:r>
      <w:r w:rsidRPr="003063D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063D1">
        <w:rPr>
          <w:sz w:val="28"/>
          <w:szCs w:val="28"/>
        </w:rPr>
        <w:t>»</w:t>
      </w:r>
    </w:p>
    <w:p w:rsidR="00007D24" w:rsidRPr="007E2287" w:rsidRDefault="00007D24" w:rsidP="00007D24">
      <w:pPr>
        <w:ind w:firstLine="708"/>
        <w:jc w:val="right"/>
        <w:rPr>
          <w:sz w:val="28"/>
          <w:szCs w:val="28"/>
        </w:rPr>
      </w:pPr>
    </w:p>
    <w:p w:rsidR="00007D24" w:rsidRDefault="00007D24" w:rsidP="00007D24">
      <w:pPr>
        <w:ind w:firstLine="708"/>
        <w:jc w:val="center"/>
        <w:rPr>
          <w:sz w:val="28"/>
          <w:szCs w:val="28"/>
        </w:rPr>
      </w:pPr>
      <w:r w:rsidRPr="007E2287">
        <w:rPr>
          <w:sz w:val="28"/>
          <w:szCs w:val="28"/>
        </w:rPr>
        <w:t>Ресурсное обеспечение реализации муниципальной Программы за счет средств бюджета городского поселения "</w:t>
      </w:r>
      <w:r>
        <w:rPr>
          <w:sz w:val="28"/>
          <w:szCs w:val="28"/>
        </w:rPr>
        <w:t>Рабочий поселок Лососина</w:t>
      </w:r>
      <w:r w:rsidRPr="007E2287">
        <w:rPr>
          <w:sz w:val="28"/>
          <w:szCs w:val="28"/>
        </w:rPr>
        <w:t>" и прогнозная (справочная) оценка расходов федерального бюджета, краевого бюджета и прочих источников</w:t>
      </w:r>
    </w:p>
    <w:p w:rsidR="00007D24" w:rsidRPr="007E2287" w:rsidRDefault="00007D24" w:rsidP="00007D24">
      <w:pPr>
        <w:ind w:firstLine="708"/>
        <w:jc w:val="center"/>
        <w:rPr>
          <w:sz w:val="28"/>
          <w:szCs w:val="28"/>
        </w:rPr>
      </w:pPr>
    </w:p>
    <w:tbl>
      <w:tblPr>
        <w:tblW w:w="14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2406"/>
        <w:gridCol w:w="1385"/>
        <w:gridCol w:w="1333"/>
        <w:gridCol w:w="1440"/>
        <w:gridCol w:w="1407"/>
        <w:gridCol w:w="1269"/>
        <w:gridCol w:w="1269"/>
        <w:gridCol w:w="1274"/>
      </w:tblGrid>
      <w:tr w:rsidR="00007D24" w:rsidRPr="000931B6" w:rsidTr="00007D24">
        <w:trPr>
          <w:trHeight w:val="223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 xml:space="preserve">№ </w:t>
            </w:r>
            <w:proofErr w:type="gramStart"/>
            <w:r w:rsidRPr="000931B6">
              <w:rPr>
                <w:sz w:val="28"/>
                <w:szCs w:val="28"/>
              </w:rPr>
              <w:t>п</w:t>
            </w:r>
            <w:proofErr w:type="gramEnd"/>
            <w:r w:rsidRPr="000931B6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7D24" w:rsidRPr="000931B6" w:rsidRDefault="00007D24" w:rsidP="00007D24">
            <w:pPr>
              <w:ind w:hanging="99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77" w:type="dxa"/>
            <w:gridSpan w:val="7"/>
            <w:shd w:val="clear" w:color="auto" w:fill="auto"/>
          </w:tcPr>
          <w:p w:rsidR="00007D24" w:rsidRPr="000931B6" w:rsidRDefault="00007D24" w:rsidP="00007D24">
            <w:pPr>
              <w:spacing w:after="200" w:line="276" w:lineRule="auto"/>
              <w:jc w:val="center"/>
            </w:pPr>
            <w:r w:rsidRPr="000931B6">
              <w:rPr>
                <w:sz w:val="28"/>
                <w:szCs w:val="28"/>
              </w:rPr>
              <w:t>Оценка расходов по годам (тыс. руб.)</w:t>
            </w:r>
          </w:p>
        </w:tc>
      </w:tr>
      <w:tr w:rsidR="00007D24" w:rsidRPr="000931B6" w:rsidTr="00007D24">
        <w:trPr>
          <w:trHeight w:val="1025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ind w:hanging="99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2018 год</w:t>
            </w:r>
          </w:p>
        </w:tc>
        <w:tc>
          <w:tcPr>
            <w:tcW w:w="1333" w:type="dxa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2020 год</w:t>
            </w:r>
          </w:p>
        </w:tc>
        <w:tc>
          <w:tcPr>
            <w:tcW w:w="1407" w:type="dxa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2021 год</w:t>
            </w:r>
          </w:p>
        </w:tc>
        <w:tc>
          <w:tcPr>
            <w:tcW w:w="1269" w:type="dxa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2022 год</w:t>
            </w:r>
          </w:p>
        </w:tc>
        <w:tc>
          <w:tcPr>
            <w:tcW w:w="1269" w:type="dxa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2024 год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1B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«Рабочий поселок Лососина»</w:t>
            </w: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1 057,957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5C6142" w:rsidP="005C6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141598" w:rsidP="0014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</w:t>
            </w:r>
            <w:r w:rsidR="00007D24" w:rsidRPr="000931B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31B6">
              <w:rPr>
                <w:sz w:val="28"/>
                <w:szCs w:val="28"/>
              </w:rPr>
              <w:t xml:space="preserve"> 000,0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0931B6">
              <w:rPr>
                <w:sz w:val="28"/>
                <w:szCs w:val="28"/>
              </w:rPr>
              <w:t>00,0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0931B6">
              <w:rPr>
                <w:sz w:val="28"/>
                <w:szCs w:val="28"/>
              </w:rPr>
              <w:t>00,0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Краевой бюджета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5C6142" w:rsidP="005C6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814CE0" w:rsidP="0014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65</w:t>
            </w:r>
            <w:r w:rsidR="00141598"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931B6">
              <w:rPr>
                <w:sz w:val="28"/>
                <w:szCs w:val="28"/>
              </w:rPr>
              <w:t>00,0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</w:t>
            </w:r>
            <w:r w:rsidRPr="000931B6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</w:t>
            </w:r>
            <w:r w:rsidRPr="000931B6">
              <w:rPr>
                <w:sz w:val="28"/>
                <w:szCs w:val="28"/>
              </w:rPr>
              <w:t>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71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1057,957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5C6142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007D24" w:rsidRPr="000931B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141598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718,394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31B6">
              <w:rPr>
                <w:sz w:val="28"/>
                <w:szCs w:val="28"/>
              </w:rPr>
              <w:t>00,0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931B6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931B6">
              <w:rPr>
                <w:sz w:val="28"/>
                <w:szCs w:val="28"/>
              </w:rPr>
              <w:t>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1B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поселении «Рабочий поселок Лососина»</w:t>
            </w: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ind w:left="-83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394883" w:rsidP="003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  <w:r w:rsidR="00007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332D20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1509,222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</w:t>
            </w:r>
            <w:r w:rsidRPr="000931B6">
              <w:rPr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</w:t>
            </w:r>
            <w:r w:rsidRPr="000931B6">
              <w:rPr>
                <w:sz w:val="28"/>
                <w:szCs w:val="28"/>
              </w:rPr>
              <w:t>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 xml:space="preserve">Федеральный бюджет (по </w:t>
            </w:r>
            <w:r w:rsidRPr="000931B6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ind w:left="-83" w:right="-165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Краевой бюджета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ind w:lef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394883" w:rsidP="003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332D20" w:rsidP="0033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1492</w:t>
            </w:r>
            <w:r w:rsidR="00007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</w:t>
            </w:r>
            <w:r w:rsidRPr="000931B6">
              <w:rPr>
                <w:sz w:val="28"/>
                <w:szCs w:val="28"/>
              </w:rPr>
              <w:t>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394883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125,411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332D20" w:rsidP="0033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0931B6">
              <w:rPr>
                <w:sz w:val="28"/>
                <w:szCs w:val="28"/>
              </w:rPr>
              <w:t>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 xml:space="preserve">Благоустройство мест массового отдыха населения </w:t>
            </w: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499,97</w:t>
            </w:r>
            <w:r w:rsidR="00D4062A"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Краевой бюджета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415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Разработка проектно-сметной документации проектов благоустройства общественных территорий</w:t>
            </w: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411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817066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 xml:space="preserve">Краевой бюджета (по </w:t>
            </w:r>
            <w:r w:rsidR="00817066">
              <w:rPr>
                <w:sz w:val="28"/>
                <w:szCs w:val="28"/>
              </w:rPr>
              <w:t>с</w:t>
            </w:r>
            <w:r w:rsidRPr="000931B6">
              <w:rPr>
                <w:sz w:val="28"/>
                <w:szCs w:val="28"/>
              </w:rPr>
              <w:t>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877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</w:t>
            </w:r>
            <w:r>
              <w:rPr>
                <w:sz w:val="28"/>
                <w:szCs w:val="28"/>
              </w:rPr>
              <w:lastRenderedPageBreak/>
              <w:t>по образованию земельных участков дворовых территорий, на которых расположены многоквартирные дома</w:t>
            </w: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Краевой бюджета (по согласованию)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7E2287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 w:val="restart"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7D24" w:rsidRPr="000931B6" w:rsidRDefault="00007D24" w:rsidP="00007D24">
            <w:pPr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499,97</w:t>
            </w:r>
            <w:r w:rsidR="00D4062A">
              <w:rPr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1057,957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332D20" w:rsidP="00332D20">
            <w:pPr>
              <w:ind w:left="-83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</w:t>
            </w:r>
            <w:r w:rsidR="00007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F2514B" w:rsidP="00F2514B">
            <w:pPr>
              <w:ind w:left="-192" w:right="-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</w:t>
            </w:r>
            <w:r w:rsidR="00007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ind w:left="-83" w:right="-165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ind w:left="-192" w:right="-154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-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Краевой бюджета (по согласованию)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B8563F">
            <w:pPr>
              <w:ind w:left="-83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63F">
              <w:rPr>
                <w:sz w:val="28"/>
                <w:szCs w:val="28"/>
              </w:rPr>
              <w:t>805</w:t>
            </w:r>
            <w:r>
              <w:rPr>
                <w:sz w:val="28"/>
                <w:szCs w:val="28"/>
              </w:rPr>
              <w:t>,</w:t>
            </w:r>
            <w:r w:rsidR="00B8563F">
              <w:rPr>
                <w:sz w:val="28"/>
                <w:szCs w:val="28"/>
              </w:rPr>
              <w:t>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832BD1" w:rsidP="00832BD1">
            <w:pPr>
              <w:ind w:left="-192" w:right="-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3114</w:t>
            </w:r>
            <w:r w:rsidR="00007D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</w:t>
            </w: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  <w:r w:rsidRPr="000931B6">
              <w:rPr>
                <w:sz w:val="28"/>
                <w:szCs w:val="28"/>
              </w:rPr>
              <w:t>,0</w:t>
            </w:r>
          </w:p>
        </w:tc>
      </w:tr>
      <w:tr w:rsidR="00007D24" w:rsidRPr="000931B6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1057,957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1C536A" w:rsidP="001C536A">
            <w:pPr>
              <w:ind w:left="-83" w:right="-1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F601A8" w:rsidP="00F601A8">
            <w:pPr>
              <w:ind w:left="-192" w:right="-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  <w:r w:rsidR="00007D24" w:rsidRPr="000931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Pr="000931B6">
              <w:rPr>
                <w:sz w:val="28"/>
                <w:szCs w:val="28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Pr="000931B6">
              <w:rPr>
                <w:sz w:val="28"/>
                <w:szCs w:val="28"/>
              </w:rPr>
              <w:t>,0</w:t>
            </w:r>
          </w:p>
        </w:tc>
      </w:tr>
      <w:tr w:rsidR="00007D24" w:rsidTr="00007D24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392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ind w:left="-83" w:right="-165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ind w:left="-192" w:right="-154"/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Pr="000931B6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24" w:rsidRDefault="00007D24" w:rsidP="00007D24">
            <w:pPr>
              <w:jc w:val="center"/>
              <w:rPr>
                <w:sz w:val="28"/>
                <w:szCs w:val="28"/>
              </w:rPr>
            </w:pPr>
            <w:r w:rsidRPr="000931B6">
              <w:rPr>
                <w:sz w:val="28"/>
                <w:szCs w:val="28"/>
              </w:rPr>
              <w:t>0</w:t>
            </w:r>
          </w:p>
        </w:tc>
      </w:tr>
    </w:tbl>
    <w:p w:rsidR="00814056" w:rsidRPr="007E2287" w:rsidRDefault="00814056" w:rsidP="00817066">
      <w:pPr>
        <w:jc w:val="both"/>
        <w:rPr>
          <w:sz w:val="28"/>
          <w:szCs w:val="28"/>
        </w:rPr>
      </w:pPr>
    </w:p>
    <w:sectPr w:rsidR="00814056" w:rsidRPr="007E2287" w:rsidSect="00817066">
      <w:pgSz w:w="16838" w:h="11906" w:orient="landscape"/>
      <w:pgMar w:top="1279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1A" w:rsidRDefault="004A591A" w:rsidP="000E716F">
      <w:r>
        <w:separator/>
      </w:r>
    </w:p>
  </w:endnote>
  <w:endnote w:type="continuationSeparator" w:id="0">
    <w:p w:rsidR="004A591A" w:rsidRDefault="004A591A" w:rsidP="000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1A" w:rsidRDefault="004A591A" w:rsidP="000E716F">
      <w:r>
        <w:separator/>
      </w:r>
    </w:p>
  </w:footnote>
  <w:footnote w:type="continuationSeparator" w:id="0">
    <w:p w:rsidR="004A591A" w:rsidRDefault="004A591A" w:rsidP="000E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4" w:rsidRDefault="00007D24">
    <w:pPr>
      <w:pStyle w:val="ac"/>
      <w:jc w:val="center"/>
    </w:pPr>
  </w:p>
  <w:p w:rsidR="00007D24" w:rsidRDefault="00007D2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7608"/>
    <w:multiLevelType w:val="hybridMultilevel"/>
    <w:tmpl w:val="E6225FE6"/>
    <w:lvl w:ilvl="0" w:tplc="135618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19"/>
    <w:rsid w:val="00003500"/>
    <w:rsid w:val="000067CF"/>
    <w:rsid w:val="00007D24"/>
    <w:rsid w:val="000320A3"/>
    <w:rsid w:val="00032A62"/>
    <w:rsid w:val="00046225"/>
    <w:rsid w:val="00055E8F"/>
    <w:rsid w:val="00064CE3"/>
    <w:rsid w:val="00073ACF"/>
    <w:rsid w:val="00074B98"/>
    <w:rsid w:val="00075C1A"/>
    <w:rsid w:val="00077684"/>
    <w:rsid w:val="00086CED"/>
    <w:rsid w:val="00086D15"/>
    <w:rsid w:val="00087D9C"/>
    <w:rsid w:val="00091B29"/>
    <w:rsid w:val="000931B6"/>
    <w:rsid w:val="00094DB7"/>
    <w:rsid w:val="000A7562"/>
    <w:rsid w:val="000B5DD3"/>
    <w:rsid w:val="000C38F6"/>
    <w:rsid w:val="000C4774"/>
    <w:rsid w:val="000D63D1"/>
    <w:rsid w:val="000E716F"/>
    <w:rsid w:val="000F2EEC"/>
    <w:rsid w:val="000F61C1"/>
    <w:rsid w:val="000F65BE"/>
    <w:rsid w:val="001008B9"/>
    <w:rsid w:val="00105190"/>
    <w:rsid w:val="0010519F"/>
    <w:rsid w:val="001117E2"/>
    <w:rsid w:val="00113CF9"/>
    <w:rsid w:val="0011408B"/>
    <w:rsid w:val="001168F3"/>
    <w:rsid w:val="00117D91"/>
    <w:rsid w:val="00117E92"/>
    <w:rsid w:val="00136A5D"/>
    <w:rsid w:val="00141598"/>
    <w:rsid w:val="00151A83"/>
    <w:rsid w:val="001576BA"/>
    <w:rsid w:val="00160683"/>
    <w:rsid w:val="0016446E"/>
    <w:rsid w:val="001648F8"/>
    <w:rsid w:val="001940EE"/>
    <w:rsid w:val="0019588F"/>
    <w:rsid w:val="00197054"/>
    <w:rsid w:val="001A27C1"/>
    <w:rsid w:val="001B14E2"/>
    <w:rsid w:val="001B28A9"/>
    <w:rsid w:val="001B4178"/>
    <w:rsid w:val="001B6831"/>
    <w:rsid w:val="001C10A5"/>
    <w:rsid w:val="001C1BD7"/>
    <w:rsid w:val="001C2223"/>
    <w:rsid w:val="001C42CB"/>
    <w:rsid w:val="001C536A"/>
    <w:rsid w:val="001D188C"/>
    <w:rsid w:val="001E0821"/>
    <w:rsid w:val="001E14D1"/>
    <w:rsid w:val="001F3971"/>
    <w:rsid w:val="00203860"/>
    <w:rsid w:val="00204CF1"/>
    <w:rsid w:val="00205AEF"/>
    <w:rsid w:val="00220F17"/>
    <w:rsid w:val="002233AF"/>
    <w:rsid w:val="00226C01"/>
    <w:rsid w:val="002272CB"/>
    <w:rsid w:val="00232016"/>
    <w:rsid w:val="0023500B"/>
    <w:rsid w:val="00235198"/>
    <w:rsid w:val="00237DDC"/>
    <w:rsid w:val="00240D3F"/>
    <w:rsid w:val="0024464F"/>
    <w:rsid w:val="00245E8D"/>
    <w:rsid w:val="00257125"/>
    <w:rsid w:val="0025785E"/>
    <w:rsid w:val="002661B8"/>
    <w:rsid w:val="00270D10"/>
    <w:rsid w:val="002746E5"/>
    <w:rsid w:val="00276F6C"/>
    <w:rsid w:val="0028228B"/>
    <w:rsid w:val="002905F2"/>
    <w:rsid w:val="002A75ED"/>
    <w:rsid w:val="002B159E"/>
    <w:rsid w:val="002C15A9"/>
    <w:rsid w:val="002C7755"/>
    <w:rsid w:val="002D07E9"/>
    <w:rsid w:val="002D1091"/>
    <w:rsid w:val="002D6712"/>
    <w:rsid w:val="002E1F6D"/>
    <w:rsid w:val="002E3DDE"/>
    <w:rsid w:val="002F2127"/>
    <w:rsid w:val="003014F0"/>
    <w:rsid w:val="00303D84"/>
    <w:rsid w:val="003063D1"/>
    <w:rsid w:val="00310F53"/>
    <w:rsid w:val="00316D0A"/>
    <w:rsid w:val="0032605B"/>
    <w:rsid w:val="00332D20"/>
    <w:rsid w:val="003333F1"/>
    <w:rsid w:val="003376C7"/>
    <w:rsid w:val="003439DC"/>
    <w:rsid w:val="00352D78"/>
    <w:rsid w:val="00355AFA"/>
    <w:rsid w:val="00383A07"/>
    <w:rsid w:val="00394883"/>
    <w:rsid w:val="00394BF7"/>
    <w:rsid w:val="003A0D17"/>
    <w:rsid w:val="003A24D3"/>
    <w:rsid w:val="003A284E"/>
    <w:rsid w:val="003A394D"/>
    <w:rsid w:val="003A7FAF"/>
    <w:rsid w:val="003B6D1F"/>
    <w:rsid w:val="003C148C"/>
    <w:rsid w:val="003C64C3"/>
    <w:rsid w:val="003D016C"/>
    <w:rsid w:val="003D1CBD"/>
    <w:rsid w:val="003E1CC1"/>
    <w:rsid w:val="003E2DC9"/>
    <w:rsid w:val="00401CF0"/>
    <w:rsid w:val="00402BB2"/>
    <w:rsid w:val="0041066D"/>
    <w:rsid w:val="004336AB"/>
    <w:rsid w:val="004414C2"/>
    <w:rsid w:val="004431FA"/>
    <w:rsid w:val="004456F3"/>
    <w:rsid w:val="00451FEF"/>
    <w:rsid w:val="00462838"/>
    <w:rsid w:val="00470C0F"/>
    <w:rsid w:val="00476F13"/>
    <w:rsid w:val="004835D2"/>
    <w:rsid w:val="00486328"/>
    <w:rsid w:val="00490F9E"/>
    <w:rsid w:val="00495C65"/>
    <w:rsid w:val="004A591A"/>
    <w:rsid w:val="004B1927"/>
    <w:rsid w:val="004C6762"/>
    <w:rsid w:val="004D7037"/>
    <w:rsid w:val="004E4A1E"/>
    <w:rsid w:val="004F46C7"/>
    <w:rsid w:val="004F54EA"/>
    <w:rsid w:val="0050251C"/>
    <w:rsid w:val="005035E4"/>
    <w:rsid w:val="005076B4"/>
    <w:rsid w:val="00511958"/>
    <w:rsid w:val="00511D73"/>
    <w:rsid w:val="00520C08"/>
    <w:rsid w:val="00520F0C"/>
    <w:rsid w:val="00522A90"/>
    <w:rsid w:val="00525B23"/>
    <w:rsid w:val="00545742"/>
    <w:rsid w:val="005461E9"/>
    <w:rsid w:val="00547D42"/>
    <w:rsid w:val="00556C44"/>
    <w:rsid w:val="00562EC0"/>
    <w:rsid w:val="00564C70"/>
    <w:rsid w:val="0057126B"/>
    <w:rsid w:val="00571A96"/>
    <w:rsid w:val="00572450"/>
    <w:rsid w:val="00577A50"/>
    <w:rsid w:val="00587DFF"/>
    <w:rsid w:val="005946EC"/>
    <w:rsid w:val="00596D0D"/>
    <w:rsid w:val="005A6B18"/>
    <w:rsid w:val="005A7834"/>
    <w:rsid w:val="005B02E9"/>
    <w:rsid w:val="005B17CA"/>
    <w:rsid w:val="005C1B65"/>
    <w:rsid w:val="005C2DDD"/>
    <w:rsid w:val="005C6142"/>
    <w:rsid w:val="005D5279"/>
    <w:rsid w:val="005D7A81"/>
    <w:rsid w:val="005E0D50"/>
    <w:rsid w:val="005E2052"/>
    <w:rsid w:val="005E366C"/>
    <w:rsid w:val="005E3E3D"/>
    <w:rsid w:val="005F02FF"/>
    <w:rsid w:val="005F3733"/>
    <w:rsid w:val="00602045"/>
    <w:rsid w:val="0062584F"/>
    <w:rsid w:val="0063620C"/>
    <w:rsid w:val="006426E3"/>
    <w:rsid w:val="00650D57"/>
    <w:rsid w:val="0065759A"/>
    <w:rsid w:val="00657F76"/>
    <w:rsid w:val="00660759"/>
    <w:rsid w:val="00664BDB"/>
    <w:rsid w:val="00665DFA"/>
    <w:rsid w:val="0066738A"/>
    <w:rsid w:val="00671369"/>
    <w:rsid w:val="0067150A"/>
    <w:rsid w:val="00675C73"/>
    <w:rsid w:val="0069251D"/>
    <w:rsid w:val="006A1482"/>
    <w:rsid w:val="006A5A16"/>
    <w:rsid w:val="006B363D"/>
    <w:rsid w:val="006B7492"/>
    <w:rsid w:val="006C1E7D"/>
    <w:rsid w:val="006C6D03"/>
    <w:rsid w:val="006C6D12"/>
    <w:rsid w:val="006D32D9"/>
    <w:rsid w:val="006D7A79"/>
    <w:rsid w:val="006E0DC2"/>
    <w:rsid w:val="00700593"/>
    <w:rsid w:val="00703D20"/>
    <w:rsid w:val="00716C8C"/>
    <w:rsid w:val="0072405A"/>
    <w:rsid w:val="00724F4D"/>
    <w:rsid w:val="00726FF5"/>
    <w:rsid w:val="00745787"/>
    <w:rsid w:val="00746135"/>
    <w:rsid w:val="0075305A"/>
    <w:rsid w:val="0075415B"/>
    <w:rsid w:val="007668B2"/>
    <w:rsid w:val="00766E0F"/>
    <w:rsid w:val="00767E41"/>
    <w:rsid w:val="00776C5C"/>
    <w:rsid w:val="00791862"/>
    <w:rsid w:val="007957B2"/>
    <w:rsid w:val="007A4B66"/>
    <w:rsid w:val="007B6784"/>
    <w:rsid w:val="007B6F8E"/>
    <w:rsid w:val="007D3A1A"/>
    <w:rsid w:val="007E1C29"/>
    <w:rsid w:val="007E2287"/>
    <w:rsid w:val="007E437D"/>
    <w:rsid w:val="007F04DE"/>
    <w:rsid w:val="007F0C5E"/>
    <w:rsid w:val="007F258A"/>
    <w:rsid w:val="00805B16"/>
    <w:rsid w:val="00813874"/>
    <w:rsid w:val="00814056"/>
    <w:rsid w:val="00814CE0"/>
    <w:rsid w:val="00817066"/>
    <w:rsid w:val="0083127C"/>
    <w:rsid w:val="00832BD1"/>
    <w:rsid w:val="00833D1F"/>
    <w:rsid w:val="00835222"/>
    <w:rsid w:val="00836D50"/>
    <w:rsid w:val="008378C5"/>
    <w:rsid w:val="008417E8"/>
    <w:rsid w:val="00847900"/>
    <w:rsid w:val="008479A1"/>
    <w:rsid w:val="00851214"/>
    <w:rsid w:val="008538E7"/>
    <w:rsid w:val="00855D7A"/>
    <w:rsid w:val="008672F5"/>
    <w:rsid w:val="00871164"/>
    <w:rsid w:val="00874719"/>
    <w:rsid w:val="00883F7B"/>
    <w:rsid w:val="008858E3"/>
    <w:rsid w:val="00893F1F"/>
    <w:rsid w:val="008946C4"/>
    <w:rsid w:val="008C0D0D"/>
    <w:rsid w:val="008C7DF9"/>
    <w:rsid w:val="008D2B51"/>
    <w:rsid w:val="008D35FF"/>
    <w:rsid w:val="008D519E"/>
    <w:rsid w:val="008D5D4A"/>
    <w:rsid w:val="008E0946"/>
    <w:rsid w:val="008E182A"/>
    <w:rsid w:val="008F2D19"/>
    <w:rsid w:val="008F6C66"/>
    <w:rsid w:val="00900305"/>
    <w:rsid w:val="009113D6"/>
    <w:rsid w:val="00920707"/>
    <w:rsid w:val="009227C8"/>
    <w:rsid w:val="00924941"/>
    <w:rsid w:val="0093392A"/>
    <w:rsid w:val="009457DB"/>
    <w:rsid w:val="00951CDB"/>
    <w:rsid w:val="00955236"/>
    <w:rsid w:val="00956766"/>
    <w:rsid w:val="00960F17"/>
    <w:rsid w:val="00967D07"/>
    <w:rsid w:val="009705ED"/>
    <w:rsid w:val="00977C9E"/>
    <w:rsid w:val="0099146E"/>
    <w:rsid w:val="00992101"/>
    <w:rsid w:val="0099236C"/>
    <w:rsid w:val="009A23A9"/>
    <w:rsid w:val="009C173C"/>
    <w:rsid w:val="009C1782"/>
    <w:rsid w:val="009C76C6"/>
    <w:rsid w:val="009D1660"/>
    <w:rsid w:val="009D1E5D"/>
    <w:rsid w:val="009D5FC1"/>
    <w:rsid w:val="009E155A"/>
    <w:rsid w:val="009E61D1"/>
    <w:rsid w:val="009F2DF9"/>
    <w:rsid w:val="009F6D06"/>
    <w:rsid w:val="009F6FF3"/>
    <w:rsid w:val="009F7B47"/>
    <w:rsid w:val="00A01B35"/>
    <w:rsid w:val="00A025A4"/>
    <w:rsid w:val="00A05143"/>
    <w:rsid w:val="00A3136E"/>
    <w:rsid w:val="00A44E85"/>
    <w:rsid w:val="00A500B9"/>
    <w:rsid w:val="00A64C4D"/>
    <w:rsid w:val="00A66A2E"/>
    <w:rsid w:val="00A700D5"/>
    <w:rsid w:val="00A73212"/>
    <w:rsid w:val="00A75665"/>
    <w:rsid w:val="00A91031"/>
    <w:rsid w:val="00A971B9"/>
    <w:rsid w:val="00AA0AC8"/>
    <w:rsid w:val="00AA0DA5"/>
    <w:rsid w:val="00AA35D7"/>
    <w:rsid w:val="00AB5293"/>
    <w:rsid w:val="00AC10A1"/>
    <w:rsid w:val="00AC240C"/>
    <w:rsid w:val="00AC2DED"/>
    <w:rsid w:val="00AC3B42"/>
    <w:rsid w:val="00AD6F4B"/>
    <w:rsid w:val="00B0690B"/>
    <w:rsid w:val="00B1752B"/>
    <w:rsid w:val="00B31253"/>
    <w:rsid w:val="00B41391"/>
    <w:rsid w:val="00B53213"/>
    <w:rsid w:val="00B55C5D"/>
    <w:rsid w:val="00B72579"/>
    <w:rsid w:val="00B8563F"/>
    <w:rsid w:val="00B85CBC"/>
    <w:rsid w:val="00B87A34"/>
    <w:rsid w:val="00B923DB"/>
    <w:rsid w:val="00B928E3"/>
    <w:rsid w:val="00B93EEA"/>
    <w:rsid w:val="00B94422"/>
    <w:rsid w:val="00B9509A"/>
    <w:rsid w:val="00B97BE0"/>
    <w:rsid w:val="00BA053B"/>
    <w:rsid w:val="00BA7FBE"/>
    <w:rsid w:val="00BC2B51"/>
    <w:rsid w:val="00BD4A2B"/>
    <w:rsid w:val="00BD4BE5"/>
    <w:rsid w:val="00BE26CF"/>
    <w:rsid w:val="00BF0F5F"/>
    <w:rsid w:val="00C004BD"/>
    <w:rsid w:val="00C053D3"/>
    <w:rsid w:val="00C1571D"/>
    <w:rsid w:val="00C21710"/>
    <w:rsid w:val="00C22ACC"/>
    <w:rsid w:val="00C25BBE"/>
    <w:rsid w:val="00C37660"/>
    <w:rsid w:val="00C44D19"/>
    <w:rsid w:val="00C4778C"/>
    <w:rsid w:val="00C50425"/>
    <w:rsid w:val="00C61B49"/>
    <w:rsid w:val="00C6225C"/>
    <w:rsid w:val="00C62508"/>
    <w:rsid w:val="00C72C3C"/>
    <w:rsid w:val="00C73ADD"/>
    <w:rsid w:val="00C76B6D"/>
    <w:rsid w:val="00C85470"/>
    <w:rsid w:val="00C862A8"/>
    <w:rsid w:val="00C87C4C"/>
    <w:rsid w:val="00C9242C"/>
    <w:rsid w:val="00C93231"/>
    <w:rsid w:val="00C968AF"/>
    <w:rsid w:val="00CA72C4"/>
    <w:rsid w:val="00CC2730"/>
    <w:rsid w:val="00CC7007"/>
    <w:rsid w:val="00CD35A3"/>
    <w:rsid w:val="00CE0482"/>
    <w:rsid w:val="00CE63BD"/>
    <w:rsid w:val="00CE6AC0"/>
    <w:rsid w:val="00CE6E8C"/>
    <w:rsid w:val="00CF1F76"/>
    <w:rsid w:val="00D01881"/>
    <w:rsid w:val="00D0342B"/>
    <w:rsid w:val="00D03869"/>
    <w:rsid w:val="00D11EEB"/>
    <w:rsid w:val="00D21179"/>
    <w:rsid w:val="00D215D9"/>
    <w:rsid w:val="00D23690"/>
    <w:rsid w:val="00D3262C"/>
    <w:rsid w:val="00D345B3"/>
    <w:rsid w:val="00D35C92"/>
    <w:rsid w:val="00D4062A"/>
    <w:rsid w:val="00D40EC7"/>
    <w:rsid w:val="00D448C8"/>
    <w:rsid w:val="00D62DD7"/>
    <w:rsid w:val="00D64046"/>
    <w:rsid w:val="00D642CB"/>
    <w:rsid w:val="00D66A3C"/>
    <w:rsid w:val="00D70BD6"/>
    <w:rsid w:val="00D72172"/>
    <w:rsid w:val="00D75376"/>
    <w:rsid w:val="00D86D30"/>
    <w:rsid w:val="00DB5BCE"/>
    <w:rsid w:val="00DC1953"/>
    <w:rsid w:val="00DE0B8C"/>
    <w:rsid w:val="00DE111F"/>
    <w:rsid w:val="00DE6194"/>
    <w:rsid w:val="00DF51FA"/>
    <w:rsid w:val="00DF67C7"/>
    <w:rsid w:val="00DF698F"/>
    <w:rsid w:val="00E11283"/>
    <w:rsid w:val="00E15F87"/>
    <w:rsid w:val="00E205FB"/>
    <w:rsid w:val="00E20703"/>
    <w:rsid w:val="00E27FF0"/>
    <w:rsid w:val="00E30682"/>
    <w:rsid w:val="00E31DAA"/>
    <w:rsid w:val="00E352D0"/>
    <w:rsid w:val="00E419C7"/>
    <w:rsid w:val="00E5243C"/>
    <w:rsid w:val="00E54FEC"/>
    <w:rsid w:val="00E550AA"/>
    <w:rsid w:val="00E61D52"/>
    <w:rsid w:val="00E73E0D"/>
    <w:rsid w:val="00E77833"/>
    <w:rsid w:val="00E8147A"/>
    <w:rsid w:val="00E84C3B"/>
    <w:rsid w:val="00E86256"/>
    <w:rsid w:val="00E9203E"/>
    <w:rsid w:val="00EA1D04"/>
    <w:rsid w:val="00EA502E"/>
    <w:rsid w:val="00EA6AE8"/>
    <w:rsid w:val="00EA6D9D"/>
    <w:rsid w:val="00EB0302"/>
    <w:rsid w:val="00EB3B4F"/>
    <w:rsid w:val="00EB41CF"/>
    <w:rsid w:val="00EB533B"/>
    <w:rsid w:val="00EB7146"/>
    <w:rsid w:val="00EC5A09"/>
    <w:rsid w:val="00EE0A6B"/>
    <w:rsid w:val="00EF24B0"/>
    <w:rsid w:val="00F03D1B"/>
    <w:rsid w:val="00F07207"/>
    <w:rsid w:val="00F0777C"/>
    <w:rsid w:val="00F11749"/>
    <w:rsid w:val="00F213C8"/>
    <w:rsid w:val="00F247D5"/>
    <w:rsid w:val="00F2514B"/>
    <w:rsid w:val="00F408BE"/>
    <w:rsid w:val="00F42119"/>
    <w:rsid w:val="00F42934"/>
    <w:rsid w:val="00F43243"/>
    <w:rsid w:val="00F455FA"/>
    <w:rsid w:val="00F5320C"/>
    <w:rsid w:val="00F57234"/>
    <w:rsid w:val="00F601A8"/>
    <w:rsid w:val="00F602CA"/>
    <w:rsid w:val="00F613DA"/>
    <w:rsid w:val="00F616F8"/>
    <w:rsid w:val="00F628A3"/>
    <w:rsid w:val="00F63BAE"/>
    <w:rsid w:val="00F70895"/>
    <w:rsid w:val="00F83E3C"/>
    <w:rsid w:val="00F848DD"/>
    <w:rsid w:val="00F84DB2"/>
    <w:rsid w:val="00F90163"/>
    <w:rsid w:val="00F9448A"/>
    <w:rsid w:val="00FA4BD9"/>
    <w:rsid w:val="00FA4F9B"/>
    <w:rsid w:val="00FA6BDA"/>
    <w:rsid w:val="00FB32EB"/>
    <w:rsid w:val="00FB748E"/>
    <w:rsid w:val="00FC616D"/>
    <w:rsid w:val="00FC68CE"/>
    <w:rsid w:val="00FD1BBF"/>
    <w:rsid w:val="00FD52B4"/>
    <w:rsid w:val="00FE49E5"/>
    <w:rsid w:val="00FE4CC1"/>
    <w:rsid w:val="00FF0E3B"/>
    <w:rsid w:val="00FF6033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50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3A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B03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EB03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8D5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1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E36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366C"/>
  </w:style>
  <w:style w:type="paragraph" w:customStyle="1" w:styleId="a9">
    <w:name w:val="Знак Знак Знак Знак Знак Знак Знак"/>
    <w:basedOn w:val="a"/>
    <w:rsid w:val="00813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675C7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675C73"/>
    <w:pPr>
      <w:shd w:val="clear" w:color="auto" w:fill="FFFFFF"/>
      <w:spacing w:after="240" w:line="32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675C7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C73"/>
    <w:pPr>
      <w:shd w:val="clear" w:color="auto" w:fill="FFFFFF"/>
      <w:spacing w:before="660" w:after="10560" w:line="322" w:lineRule="exact"/>
      <w:jc w:val="center"/>
    </w:pPr>
    <w:rPr>
      <w:rFonts w:cstheme="minorBidi"/>
      <w:sz w:val="25"/>
      <w:szCs w:val="25"/>
      <w:lang w:eastAsia="en-US"/>
    </w:rPr>
  </w:style>
  <w:style w:type="character" w:customStyle="1" w:styleId="2">
    <w:name w:val="Основной текст (2)"/>
    <w:basedOn w:val="a0"/>
    <w:rsid w:val="0067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enpt">
    <w:name w:val="cenpt"/>
    <w:basedOn w:val="a"/>
    <w:rsid w:val="00105190"/>
    <w:pPr>
      <w:spacing w:before="100" w:beforeAutospacing="1" w:after="100" w:afterAutospacing="1"/>
    </w:pPr>
  </w:style>
  <w:style w:type="character" w:styleId="aa">
    <w:name w:val="Strong"/>
    <w:qFormat/>
    <w:rsid w:val="00105190"/>
    <w:rPr>
      <w:b/>
      <w:bCs/>
    </w:rPr>
  </w:style>
  <w:style w:type="paragraph" w:customStyle="1" w:styleId="ab">
    <w:name w:val="Знак Знак Знак Знак Знак Знак Знак"/>
    <w:basedOn w:val="a"/>
    <w:rsid w:val="00CD3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E71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1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35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Exact">
    <w:name w:val="Основной текст (8) Exact"/>
    <w:basedOn w:val="a0"/>
    <w:link w:val="8"/>
    <w:rsid w:val="004E4A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E4A1E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  <w:style w:type="paragraph" w:styleId="20">
    <w:name w:val="Body Text Indent 2"/>
    <w:basedOn w:val="a"/>
    <w:link w:val="21"/>
    <w:rsid w:val="00316D0A"/>
    <w:pPr>
      <w:ind w:right="119"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316D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50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3A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B03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EB03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8D5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1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E36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366C"/>
  </w:style>
  <w:style w:type="paragraph" w:customStyle="1" w:styleId="a9">
    <w:name w:val="Знак Знак Знак Знак Знак Знак Знак"/>
    <w:basedOn w:val="a"/>
    <w:rsid w:val="008138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675C7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675C73"/>
    <w:pPr>
      <w:shd w:val="clear" w:color="auto" w:fill="FFFFFF"/>
      <w:spacing w:after="240" w:line="32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675C7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C73"/>
    <w:pPr>
      <w:shd w:val="clear" w:color="auto" w:fill="FFFFFF"/>
      <w:spacing w:before="660" w:after="10560" w:line="322" w:lineRule="exact"/>
      <w:jc w:val="center"/>
    </w:pPr>
    <w:rPr>
      <w:rFonts w:cstheme="minorBidi"/>
      <w:sz w:val="25"/>
      <w:szCs w:val="25"/>
      <w:lang w:eastAsia="en-US"/>
    </w:rPr>
  </w:style>
  <w:style w:type="character" w:customStyle="1" w:styleId="2">
    <w:name w:val="Основной текст (2)"/>
    <w:basedOn w:val="a0"/>
    <w:rsid w:val="00675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enpt">
    <w:name w:val="cenpt"/>
    <w:basedOn w:val="a"/>
    <w:rsid w:val="00105190"/>
    <w:pPr>
      <w:spacing w:before="100" w:beforeAutospacing="1" w:after="100" w:afterAutospacing="1"/>
    </w:pPr>
  </w:style>
  <w:style w:type="character" w:styleId="aa">
    <w:name w:val="Strong"/>
    <w:qFormat/>
    <w:rsid w:val="00105190"/>
    <w:rPr>
      <w:b/>
      <w:bCs/>
    </w:rPr>
  </w:style>
  <w:style w:type="paragraph" w:customStyle="1" w:styleId="ab">
    <w:name w:val="Знак Знак Знак Знак Знак Знак Знак"/>
    <w:basedOn w:val="a"/>
    <w:rsid w:val="00CD35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E71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1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35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Exact">
    <w:name w:val="Основной текст (8) Exact"/>
    <w:basedOn w:val="a0"/>
    <w:link w:val="8"/>
    <w:rsid w:val="004E4A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E4A1E"/>
    <w:pPr>
      <w:widowControl w:val="0"/>
      <w:shd w:val="clear" w:color="auto" w:fill="FFFFFF"/>
      <w:spacing w:line="232" w:lineRule="exact"/>
    </w:pPr>
    <w:rPr>
      <w:sz w:val="21"/>
      <w:szCs w:val="21"/>
      <w:lang w:eastAsia="en-US"/>
    </w:rPr>
  </w:style>
  <w:style w:type="paragraph" w:styleId="20">
    <w:name w:val="Body Text Indent 2"/>
    <w:basedOn w:val="a"/>
    <w:link w:val="21"/>
    <w:rsid w:val="00316D0A"/>
    <w:pPr>
      <w:ind w:right="119"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316D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ABE5-56BF-4784-A8B1-8DF14F3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2021-09-21T03:30:00Z</cp:lastPrinted>
  <dcterms:created xsi:type="dcterms:W3CDTF">2021-09-21T03:36:00Z</dcterms:created>
  <dcterms:modified xsi:type="dcterms:W3CDTF">2021-09-22T23:25:00Z</dcterms:modified>
</cp:coreProperties>
</file>